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08" w:rsidRPr="005A4708" w:rsidRDefault="005A4708" w:rsidP="005A4708">
      <w:pPr>
        <w:jc w:val="center"/>
        <w:rPr>
          <w:rFonts w:ascii="Arial" w:eastAsia="標楷體" w:hAnsi="Arial" w:cs="Arial"/>
          <w:b/>
          <w:sz w:val="32"/>
          <w:szCs w:val="32"/>
        </w:rPr>
      </w:pPr>
      <w:r>
        <w:rPr>
          <w:rFonts w:ascii="Arial" w:eastAsia="新細明體" w:hAnsi="Arial" w:cs="Arial" w:hint="eastAsia"/>
          <w:b/>
          <w:kern w:val="0"/>
          <w:sz w:val="32"/>
          <w:szCs w:val="32"/>
        </w:rPr>
        <w:t xml:space="preserve">Linda </w:t>
      </w:r>
      <w:r w:rsidRPr="005A4708">
        <w:rPr>
          <w:rFonts w:ascii="Arial" w:eastAsia="新細明體" w:hAnsi="Arial" w:cs="Arial"/>
          <w:b/>
          <w:kern w:val="0"/>
          <w:sz w:val="32"/>
          <w:szCs w:val="32"/>
        </w:rPr>
        <w:t>Li-</w:t>
      </w:r>
      <w:proofErr w:type="spellStart"/>
      <w:r w:rsidRPr="005A4708">
        <w:rPr>
          <w:rFonts w:ascii="Arial" w:eastAsia="新細明體" w:hAnsi="Arial" w:cs="Arial"/>
          <w:b/>
          <w:kern w:val="0"/>
          <w:sz w:val="32"/>
          <w:szCs w:val="32"/>
        </w:rPr>
        <w:t>chuan</w:t>
      </w:r>
      <w:proofErr w:type="spellEnd"/>
      <w:r w:rsidRPr="005A4708">
        <w:rPr>
          <w:rFonts w:ascii="Arial" w:eastAsia="新細明體" w:hAnsi="Arial" w:cs="Arial"/>
          <w:b/>
          <w:kern w:val="0"/>
          <w:sz w:val="32"/>
          <w:szCs w:val="32"/>
        </w:rPr>
        <w:t xml:space="preserve"> Chiang</w:t>
      </w:r>
      <w:r>
        <w:rPr>
          <w:rFonts w:ascii="Arial" w:eastAsia="新細明體" w:hAnsi="Arial" w:cs="Arial" w:hint="eastAsia"/>
          <w:b/>
          <w:kern w:val="0"/>
          <w:sz w:val="32"/>
          <w:szCs w:val="32"/>
        </w:rPr>
        <w:t>,</w:t>
      </w:r>
      <w:r w:rsidRPr="005A4708">
        <w:rPr>
          <w:rFonts w:ascii="Arial" w:eastAsia="標楷體" w:hAnsi="Arial" w:cs="Arial"/>
          <w:b/>
          <w:sz w:val="32"/>
          <w:szCs w:val="32"/>
        </w:rPr>
        <w:t xml:space="preserve"> </w:t>
      </w:r>
      <w:proofErr w:type="spellStart"/>
      <w:r w:rsidRPr="005A4708">
        <w:rPr>
          <w:rFonts w:ascii="Arial" w:eastAsia="標楷體" w:hAnsi="Arial" w:cs="Arial"/>
          <w:b/>
          <w:sz w:val="32"/>
          <w:szCs w:val="32"/>
        </w:rPr>
        <w:t>Ph.D</w:t>
      </w:r>
      <w:proofErr w:type="spellEnd"/>
    </w:p>
    <w:p w:rsidR="005A4708" w:rsidRPr="005A4708" w:rsidRDefault="005A4708" w:rsidP="005A4708">
      <w:pPr>
        <w:jc w:val="center"/>
        <w:rPr>
          <w:rFonts w:ascii="Arial" w:eastAsia="標楷體" w:hAnsi="Arial" w:cs="Arial"/>
          <w:b/>
          <w:i/>
          <w:szCs w:val="24"/>
        </w:rPr>
      </w:pPr>
      <w:r w:rsidRPr="005A4708">
        <w:rPr>
          <w:rFonts w:ascii="Arial" w:eastAsia="標楷體" w:hAnsi="Arial" w:cs="Arial"/>
          <w:b/>
          <w:i/>
          <w:szCs w:val="24"/>
        </w:rPr>
        <w:t>Curriculum Vitae</w:t>
      </w:r>
    </w:p>
    <w:p w:rsidR="002D5670" w:rsidRDefault="002D5670" w:rsidP="002D5670">
      <w:pPr>
        <w:widowControl/>
        <w:tabs>
          <w:tab w:val="left" w:pos="2835"/>
        </w:tabs>
        <w:jc w:val="center"/>
        <w:rPr>
          <w:rFonts w:ascii="Arial" w:eastAsia="新細明體" w:hAnsi="Arial" w:cs="Arial"/>
          <w:b/>
          <w:i/>
          <w:kern w:val="0"/>
          <w:szCs w:val="24"/>
        </w:rPr>
      </w:pPr>
    </w:p>
    <w:p w:rsidR="005A4708" w:rsidRPr="005A4708" w:rsidRDefault="002D5670" w:rsidP="002D5670">
      <w:pPr>
        <w:widowControl/>
        <w:tabs>
          <w:tab w:val="left" w:pos="2835"/>
        </w:tabs>
        <w:jc w:val="center"/>
        <w:rPr>
          <w:rFonts w:ascii="Arial" w:eastAsia="新細明體" w:hAnsi="Arial" w:cs="Arial"/>
          <w:b/>
          <w:i/>
          <w:kern w:val="0"/>
          <w:szCs w:val="24"/>
        </w:rPr>
      </w:pPr>
      <w:r>
        <w:rPr>
          <w:rFonts w:ascii="Arial" w:eastAsia="新細明體" w:hAnsi="Arial" w:cs="Arial"/>
          <w:b/>
          <w:noProof/>
          <w:szCs w:val="24"/>
        </w:rPr>
        <w:drawing>
          <wp:inline distT="0" distB="0" distL="0" distR="0" wp14:anchorId="363844E1" wp14:editId="27B74594">
            <wp:extent cx="1732968" cy="2428875"/>
            <wp:effectExtent l="0" t="0" r="63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2427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5670" w:rsidRDefault="002D5670" w:rsidP="005A4708">
      <w:pPr>
        <w:adjustRightInd w:val="0"/>
        <w:textAlignment w:val="baseline"/>
        <w:rPr>
          <w:rFonts w:ascii="Arial" w:eastAsia="新細明體" w:hAnsi="Arial" w:cs="Arial"/>
          <w:b/>
          <w:szCs w:val="24"/>
        </w:rPr>
      </w:pPr>
    </w:p>
    <w:p w:rsidR="005A4708" w:rsidRPr="005A4708" w:rsidRDefault="005A4708" w:rsidP="005A4708">
      <w:pPr>
        <w:adjustRightInd w:val="0"/>
        <w:textAlignment w:val="baseline"/>
        <w:rPr>
          <w:rFonts w:ascii="Arial" w:eastAsia="新細明體" w:hAnsi="Arial" w:cs="Arial"/>
          <w:b/>
          <w:szCs w:val="24"/>
        </w:rPr>
      </w:pPr>
      <w:r w:rsidRPr="005A4708">
        <w:rPr>
          <w:rFonts w:ascii="Arial" w:eastAsia="新細明體" w:hAnsi="Arial" w:cs="Arial"/>
          <w:b/>
          <w:szCs w:val="24"/>
        </w:rPr>
        <w:t>Current Position</w:t>
      </w:r>
    </w:p>
    <w:p w:rsidR="005A4708" w:rsidRPr="005A4708" w:rsidRDefault="005A4708" w:rsidP="005A4708">
      <w:pPr>
        <w:widowControl/>
        <w:ind w:leftChars="177" w:left="425"/>
        <w:jc w:val="both"/>
        <w:rPr>
          <w:rFonts w:ascii="Arial" w:eastAsia="標楷體" w:hAnsi="Arial" w:cs="Arial"/>
          <w:szCs w:val="24"/>
        </w:rPr>
      </w:pPr>
      <w:r w:rsidRPr="005A4708">
        <w:rPr>
          <w:rFonts w:ascii="Arial" w:eastAsia="標楷體" w:hAnsi="Arial" w:cs="Arial"/>
          <w:szCs w:val="24"/>
        </w:rPr>
        <w:t>Professor</w:t>
      </w:r>
      <w:r w:rsidRPr="005A4708">
        <w:rPr>
          <w:rFonts w:ascii="Arial" w:eastAsia="標楷體" w:hAnsi="Arial" w:cs="Arial" w:hint="eastAsia"/>
          <w:szCs w:val="24"/>
        </w:rPr>
        <w:t xml:space="preserve"> &amp; </w:t>
      </w:r>
      <w:r w:rsidRPr="005A4708">
        <w:rPr>
          <w:rFonts w:ascii="Arial" w:eastAsia="新細明體" w:hAnsi="Arial" w:cs="Arial"/>
          <w:kern w:val="0"/>
          <w:szCs w:val="24"/>
        </w:rPr>
        <w:t>General Secretariat (August, 2012~)</w:t>
      </w:r>
    </w:p>
    <w:p w:rsidR="005A4708" w:rsidRPr="005A4708" w:rsidRDefault="005A4708" w:rsidP="005A4708">
      <w:pPr>
        <w:ind w:leftChars="177" w:left="425"/>
        <w:rPr>
          <w:rFonts w:ascii="Arial" w:eastAsia="標楷體" w:hAnsi="Arial" w:cs="Arial"/>
          <w:szCs w:val="24"/>
        </w:rPr>
      </w:pPr>
      <w:r w:rsidRPr="005A4708">
        <w:rPr>
          <w:rFonts w:ascii="Arial" w:eastAsia="標楷體" w:hAnsi="Arial" w:cs="Arial"/>
          <w:szCs w:val="24"/>
        </w:rPr>
        <w:t>Department of Education</w:t>
      </w:r>
    </w:p>
    <w:p w:rsidR="005A4708" w:rsidRPr="005A4708" w:rsidRDefault="005A4708" w:rsidP="005A4708">
      <w:pPr>
        <w:ind w:leftChars="177" w:left="425"/>
        <w:rPr>
          <w:rFonts w:ascii="Arial" w:eastAsia="標楷體" w:hAnsi="Arial" w:cs="Arial"/>
          <w:szCs w:val="24"/>
        </w:rPr>
      </w:pPr>
      <w:proofErr w:type="gramStart"/>
      <w:r w:rsidRPr="005A4708">
        <w:rPr>
          <w:rFonts w:ascii="Arial" w:eastAsia="標楷體" w:hAnsi="Arial" w:cs="Arial"/>
          <w:szCs w:val="24"/>
        </w:rPr>
        <w:t>National University of Tainan (NUTN), Tainan, Taiwan.</w:t>
      </w:r>
      <w:proofErr w:type="gramEnd"/>
    </w:p>
    <w:p w:rsidR="005A4708" w:rsidRPr="005A4708" w:rsidRDefault="005A4708" w:rsidP="005A4708">
      <w:pPr>
        <w:adjustRightInd w:val="0"/>
        <w:textAlignment w:val="baseline"/>
        <w:rPr>
          <w:rFonts w:ascii="Arial" w:eastAsia="新細明體" w:hAnsi="Arial" w:cs="Arial"/>
          <w:b/>
          <w:szCs w:val="24"/>
        </w:rPr>
      </w:pPr>
    </w:p>
    <w:p w:rsidR="005A4708" w:rsidRPr="005A4708" w:rsidRDefault="005A4708" w:rsidP="005A4708">
      <w:pPr>
        <w:adjustRightInd w:val="0"/>
        <w:textAlignment w:val="baseline"/>
        <w:rPr>
          <w:rFonts w:ascii="Arial" w:eastAsia="新細明體" w:hAnsi="Arial" w:cs="Arial"/>
          <w:b/>
          <w:szCs w:val="24"/>
        </w:rPr>
      </w:pPr>
      <w:r w:rsidRPr="005A4708">
        <w:rPr>
          <w:rFonts w:ascii="Arial" w:eastAsia="新細明體" w:hAnsi="Arial" w:cs="Arial"/>
          <w:b/>
          <w:szCs w:val="24"/>
        </w:rPr>
        <w:t>Contact Information</w:t>
      </w:r>
    </w:p>
    <w:p w:rsidR="005A4708" w:rsidRPr="005A4708" w:rsidRDefault="005A4708" w:rsidP="005A4708">
      <w:pPr>
        <w:ind w:leftChars="177" w:left="425"/>
        <w:rPr>
          <w:rFonts w:ascii="Arial" w:eastAsia="新細明體" w:hAnsi="Arial" w:cs="Arial"/>
          <w:szCs w:val="24"/>
        </w:rPr>
      </w:pPr>
      <w:r w:rsidRPr="005A4708">
        <w:rPr>
          <w:rFonts w:ascii="Arial" w:eastAsia="新細明體" w:hAnsi="Arial" w:cs="Arial"/>
          <w:szCs w:val="24"/>
        </w:rPr>
        <w:t>Address: No. 33, Section 2, Su-Lin Street, Tainan City, Taiwan</w:t>
      </w:r>
    </w:p>
    <w:p w:rsidR="005A4708" w:rsidRPr="005A4708" w:rsidRDefault="005A4708" w:rsidP="005A4708">
      <w:pPr>
        <w:ind w:leftChars="177" w:left="425"/>
        <w:rPr>
          <w:rFonts w:ascii="Arial" w:eastAsia="新細明體" w:hAnsi="Arial" w:cs="Arial"/>
          <w:szCs w:val="24"/>
        </w:rPr>
      </w:pPr>
      <w:r w:rsidRPr="005A4708">
        <w:rPr>
          <w:rFonts w:ascii="Arial" w:eastAsia="新細明體" w:hAnsi="Arial" w:cs="Arial"/>
          <w:szCs w:val="24"/>
        </w:rPr>
        <w:t xml:space="preserve">Tel: +886 6 2133111 ext. </w:t>
      </w:r>
      <w:r w:rsidRPr="005A4708">
        <w:rPr>
          <w:rFonts w:ascii="Arial" w:eastAsia="新細明體" w:hAnsi="Arial" w:cs="Arial" w:hint="eastAsia"/>
          <w:szCs w:val="24"/>
        </w:rPr>
        <w:t>110</w:t>
      </w:r>
    </w:p>
    <w:p w:rsidR="005A4708" w:rsidRPr="005A4708" w:rsidRDefault="005A4708" w:rsidP="005A4708">
      <w:pPr>
        <w:ind w:leftChars="177" w:left="425"/>
        <w:rPr>
          <w:rFonts w:ascii="Arial" w:eastAsia="新細明體" w:hAnsi="Arial" w:cs="Arial"/>
          <w:szCs w:val="24"/>
        </w:rPr>
      </w:pPr>
      <w:r w:rsidRPr="005A4708">
        <w:rPr>
          <w:rFonts w:ascii="Arial" w:eastAsia="新細明體" w:hAnsi="Arial" w:cs="Arial"/>
          <w:szCs w:val="24"/>
        </w:rPr>
        <w:t>Fax: +886 6 2141443</w:t>
      </w:r>
    </w:p>
    <w:p w:rsidR="005A4708" w:rsidRPr="005A4708" w:rsidRDefault="005A4708" w:rsidP="005A4708">
      <w:pPr>
        <w:ind w:leftChars="177" w:left="425"/>
        <w:rPr>
          <w:rFonts w:ascii="Arial" w:eastAsia="新細明體" w:hAnsi="Arial" w:cs="Arial"/>
          <w:szCs w:val="24"/>
        </w:rPr>
      </w:pPr>
      <w:r w:rsidRPr="005A4708">
        <w:rPr>
          <w:rFonts w:ascii="Arial" w:eastAsia="新細明體" w:hAnsi="Arial" w:cs="Arial"/>
          <w:szCs w:val="24"/>
        </w:rPr>
        <w:t>E-mail: lcchiang@mail.nutn.edu.tw</w:t>
      </w:r>
    </w:p>
    <w:p w:rsidR="005A4708" w:rsidRPr="005A4708" w:rsidRDefault="005A4708" w:rsidP="005A4708">
      <w:pPr>
        <w:rPr>
          <w:rFonts w:ascii="Arial" w:eastAsia="新細明體" w:hAnsi="Arial" w:cs="Arial"/>
          <w:b/>
          <w:szCs w:val="24"/>
        </w:rPr>
      </w:pPr>
    </w:p>
    <w:p w:rsidR="005A4708" w:rsidRPr="005A4708" w:rsidRDefault="005A4708" w:rsidP="005A4708">
      <w:pPr>
        <w:rPr>
          <w:rFonts w:ascii="Arial" w:eastAsia="標楷體" w:hAnsi="Arial" w:cs="Arial"/>
          <w:b/>
          <w:bCs/>
          <w:szCs w:val="24"/>
        </w:rPr>
      </w:pPr>
      <w:r w:rsidRPr="005A4708">
        <w:rPr>
          <w:rFonts w:ascii="Arial" w:eastAsia="標楷體" w:hAnsi="Arial" w:cs="Arial"/>
          <w:b/>
          <w:bCs/>
          <w:szCs w:val="24"/>
        </w:rPr>
        <w:t>Educational Background</w:t>
      </w:r>
    </w:p>
    <w:p w:rsidR="005A4708" w:rsidRPr="005A4708" w:rsidRDefault="005A4708" w:rsidP="005A4708">
      <w:pPr>
        <w:ind w:leftChars="177" w:left="425"/>
        <w:rPr>
          <w:rFonts w:ascii="Arial" w:eastAsia="標楷體" w:hAnsi="Arial" w:cs="Arial"/>
          <w:szCs w:val="24"/>
        </w:rPr>
      </w:pPr>
      <w:r w:rsidRPr="005A4708">
        <w:rPr>
          <w:rFonts w:ascii="Arial" w:eastAsia="標楷體" w:hAnsi="Arial" w:cs="Arial" w:hint="eastAsia"/>
          <w:szCs w:val="24"/>
        </w:rPr>
        <w:t>MA of National Kaohsiung Normal University, Taiwan (1991~1993)</w:t>
      </w:r>
    </w:p>
    <w:p w:rsidR="005A4708" w:rsidRPr="005A4708" w:rsidRDefault="005A4708" w:rsidP="005A4708">
      <w:pPr>
        <w:ind w:leftChars="177" w:left="425"/>
        <w:rPr>
          <w:rFonts w:ascii="Arial" w:eastAsia="標楷體" w:hAnsi="Arial" w:cs="Arial"/>
          <w:szCs w:val="24"/>
        </w:rPr>
      </w:pPr>
      <w:r w:rsidRPr="005A4708">
        <w:rPr>
          <w:rFonts w:ascii="Arial" w:eastAsia="標楷體" w:hAnsi="Arial" w:cs="Arial"/>
          <w:szCs w:val="24"/>
        </w:rPr>
        <w:t xml:space="preserve">PhD of Institute of Education, University </w:t>
      </w:r>
      <w:r>
        <w:rPr>
          <w:rFonts w:ascii="Arial" w:eastAsia="標楷體" w:hAnsi="Arial" w:cs="Arial" w:hint="eastAsia"/>
          <w:szCs w:val="24"/>
        </w:rPr>
        <w:t xml:space="preserve">College </w:t>
      </w:r>
      <w:r w:rsidRPr="005A4708">
        <w:rPr>
          <w:rFonts w:ascii="Arial" w:eastAsia="標楷體" w:hAnsi="Arial" w:cs="Arial"/>
          <w:szCs w:val="24"/>
        </w:rPr>
        <w:t>London</w:t>
      </w:r>
      <w:r>
        <w:rPr>
          <w:rFonts w:ascii="Arial" w:eastAsia="標楷體" w:hAnsi="Arial" w:cs="Arial" w:hint="eastAsia"/>
          <w:szCs w:val="24"/>
        </w:rPr>
        <w:t xml:space="preserve"> (UCL)</w:t>
      </w:r>
      <w:r w:rsidRPr="005A4708">
        <w:rPr>
          <w:rFonts w:ascii="Arial" w:eastAsia="標楷體" w:hAnsi="Arial" w:cs="Arial"/>
          <w:szCs w:val="24"/>
        </w:rPr>
        <w:t>, U.K. (1995~2000)</w:t>
      </w:r>
    </w:p>
    <w:p w:rsidR="005A4708" w:rsidRPr="005A4708" w:rsidRDefault="005A4708" w:rsidP="005A4708">
      <w:pPr>
        <w:ind w:leftChars="413" w:left="991"/>
        <w:rPr>
          <w:rFonts w:ascii="Arial" w:eastAsia="標楷體" w:hAnsi="Arial" w:cs="Arial"/>
          <w:szCs w:val="24"/>
        </w:rPr>
      </w:pPr>
      <w:r w:rsidRPr="005A4708">
        <w:rPr>
          <w:rFonts w:ascii="Arial" w:eastAsia="標楷體" w:hAnsi="Arial" w:cs="Arial"/>
          <w:szCs w:val="24"/>
        </w:rPr>
        <w:t>Major: Comparative Higher Education</w:t>
      </w:r>
    </w:p>
    <w:p w:rsidR="005A4708" w:rsidRPr="005A4708" w:rsidRDefault="005A4708" w:rsidP="005A4708">
      <w:pPr>
        <w:ind w:leftChars="413" w:left="991"/>
        <w:rPr>
          <w:rFonts w:ascii="Arial" w:eastAsia="標楷體" w:hAnsi="Arial" w:cs="Arial"/>
          <w:szCs w:val="24"/>
        </w:rPr>
      </w:pPr>
      <w:r w:rsidRPr="005A4708">
        <w:rPr>
          <w:rFonts w:ascii="Arial" w:eastAsia="新細明體" w:hAnsi="Arial" w:cs="Arial"/>
          <w:kern w:val="0"/>
          <w:szCs w:val="24"/>
        </w:rPr>
        <w:t>Thesis titled ‘</w:t>
      </w:r>
      <w:r w:rsidRPr="005A4708">
        <w:rPr>
          <w:rFonts w:ascii="Arial" w:eastAsia="標楷體" w:hAnsi="Arial" w:cs="Arial"/>
          <w:szCs w:val="24"/>
        </w:rPr>
        <w:t>The Relationship between University Autonomy and Funding in England and in Taiwan’</w:t>
      </w:r>
    </w:p>
    <w:p w:rsidR="005A4708" w:rsidRPr="005A4708" w:rsidRDefault="005A4708" w:rsidP="005A4708">
      <w:pPr>
        <w:widowControl/>
        <w:jc w:val="both"/>
        <w:rPr>
          <w:rFonts w:ascii="Arial" w:eastAsia="新細明體" w:hAnsi="Arial" w:cs="Arial"/>
          <w:b/>
          <w:kern w:val="0"/>
          <w:szCs w:val="24"/>
        </w:rPr>
      </w:pPr>
    </w:p>
    <w:p w:rsidR="005A4708" w:rsidRPr="005A4708" w:rsidRDefault="005A4708" w:rsidP="005A4708">
      <w:pPr>
        <w:widowControl/>
        <w:jc w:val="both"/>
        <w:rPr>
          <w:rFonts w:ascii="Arial" w:eastAsia="新細明體" w:hAnsi="Arial" w:cs="Arial"/>
          <w:b/>
          <w:kern w:val="0"/>
          <w:szCs w:val="24"/>
        </w:rPr>
      </w:pPr>
      <w:r w:rsidRPr="005A4708">
        <w:rPr>
          <w:rFonts w:ascii="Arial" w:eastAsia="新細明體" w:hAnsi="Arial" w:cs="Arial" w:hint="eastAsia"/>
          <w:b/>
          <w:kern w:val="0"/>
          <w:szCs w:val="24"/>
        </w:rPr>
        <w:t xml:space="preserve">Previous </w:t>
      </w:r>
      <w:r w:rsidRPr="005A4708">
        <w:rPr>
          <w:rFonts w:ascii="Arial" w:eastAsia="新細明體" w:hAnsi="Arial" w:cs="Arial"/>
          <w:b/>
          <w:kern w:val="0"/>
          <w:szCs w:val="24"/>
        </w:rPr>
        <w:t>Work Experience</w:t>
      </w:r>
    </w:p>
    <w:p w:rsidR="005A4708" w:rsidRPr="005A4708" w:rsidRDefault="005A4708" w:rsidP="005A4708">
      <w:pPr>
        <w:widowControl/>
        <w:ind w:leftChars="177" w:left="425"/>
        <w:jc w:val="both"/>
        <w:rPr>
          <w:rFonts w:ascii="Arial" w:eastAsia="新細明體" w:hAnsi="Arial" w:cs="Arial"/>
          <w:kern w:val="0"/>
          <w:szCs w:val="24"/>
        </w:rPr>
      </w:pPr>
      <w:r w:rsidRPr="005A4708">
        <w:rPr>
          <w:rFonts w:ascii="Arial" w:eastAsia="新細明體" w:hAnsi="Arial" w:cs="Arial" w:hint="eastAsia"/>
          <w:kern w:val="0"/>
          <w:szCs w:val="24"/>
        </w:rPr>
        <w:t>Junior high school teacher (1989~1991)</w:t>
      </w:r>
    </w:p>
    <w:p w:rsidR="005A4708" w:rsidRPr="005A4708" w:rsidRDefault="005A4708" w:rsidP="005A4708">
      <w:pPr>
        <w:widowControl/>
        <w:ind w:leftChars="177" w:left="425"/>
        <w:jc w:val="both"/>
        <w:rPr>
          <w:rFonts w:ascii="Arial" w:eastAsia="新細明體" w:hAnsi="Arial" w:cs="Arial"/>
          <w:kern w:val="0"/>
          <w:szCs w:val="24"/>
        </w:rPr>
      </w:pPr>
      <w:r w:rsidRPr="005A4708">
        <w:rPr>
          <w:rFonts w:ascii="Arial" w:eastAsia="新細明體" w:hAnsi="Arial" w:cs="Arial" w:hint="eastAsia"/>
          <w:kern w:val="0"/>
          <w:szCs w:val="24"/>
        </w:rPr>
        <w:t>M</w:t>
      </w:r>
      <w:r w:rsidRPr="005A4708">
        <w:rPr>
          <w:rFonts w:ascii="Arial" w:eastAsia="新細明體" w:hAnsi="Arial" w:cs="Arial"/>
          <w:kern w:val="0"/>
          <w:szCs w:val="24"/>
        </w:rPr>
        <w:t>id-rank officer in the</w:t>
      </w:r>
      <w:r w:rsidRPr="005A4708">
        <w:rPr>
          <w:rFonts w:ascii="Arial" w:eastAsia="新細明體" w:hAnsi="Arial" w:cs="Arial" w:hint="eastAsia"/>
          <w:kern w:val="0"/>
          <w:szCs w:val="24"/>
        </w:rPr>
        <w:t xml:space="preserve"> Kaohsiung</w:t>
      </w:r>
      <w:r w:rsidRPr="005A4708">
        <w:rPr>
          <w:rFonts w:ascii="Arial" w:eastAsia="新細明體" w:hAnsi="Arial" w:cs="Arial"/>
          <w:kern w:val="0"/>
          <w:szCs w:val="24"/>
        </w:rPr>
        <w:t xml:space="preserve"> city government</w:t>
      </w:r>
      <w:r w:rsidRPr="005A4708">
        <w:rPr>
          <w:rFonts w:ascii="Arial" w:eastAsia="新細明體" w:hAnsi="Arial" w:cs="Arial" w:hint="eastAsia"/>
          <w:kern w:val="0"/>
          <w:szCs w:val="24"/>
        </w:rPr>
        <w:t xml:space="preserve"> (1993~1995)</w:t>
      </w:r>
    </w:p>
    <w:p w:rsidR="005A4708" w:rsidRPr="005A4708" w:rsidRDefault="005A4708" w:rsidP="005A4708">
      <w:pPr>
        <w:widowControl/>
        <w:ind w:leftChars="177" w:left="425"/>
        <w:jc w:val="both"/>
        <w:rPr>
          <w:rFonts w:ascii="Arial" w:eastAsia="新細明體" w:hAnsi="Arial" w:cs="Arial"/>
          <w:kern w:val="0"/>
          <w:szCs w:val="24"/>
        </w:rPr>
      </w:pPr>
      <w:r w:rsidRPr="005A4708">
        <w:rPr>
          <w:rFonts w:ascii="Arial" w:eastAsia="新細明體" w:hAnsi="Arial" w:cs="Arial" w:hint="eastAsia"/>
          <w:kern w:val="0"/>
          <w:szCs w:val="24"/>
        </w:rPr>
        <w:lastRenderedPageBreak/>
        <w:t>Assistant professor of National University Chi-Nan University (2000~2002)</w:t>
      </w:r>
    </w:p>
    <w:p w:rsidR="005A4708" w:rsidRPr="005A4708" w:rsidRDefault="005A4708" w:rsidP="005A4708">
      <w:pPr>
        <w:widowControl/>
        <w:ind w:leftChars="177" w:left="425"/>
        <w:jc w:val="both"/>
        <w:rPr>
          <w:rFonts w:ascii="Arial" w:eastAsia="新細明體" w:hAnsi="Arial" w:cs="Arial"/>
          <w:kern w:val="0"/>
          <w:szCs w:val="24"/>
        </w:rPr>
      </w:pPr>
      <w:r w:rsidRPr="005A4708">
        <w:rPr>
          <w:rFonts w:ascii="Arial" w:eastAsia="新細明體" w:hAnsi="Arial" w:cs="Arial" w:hint="eastAsia"/>
          <w:kern w:val="0"/>
          <w:szCs w:val="24"/>
        </w:rPr>
        <w:t>Assistant professor of National University of Tainan (2002~2004)</w:t>
      </w:r>
    </w:p>
    <w:p w:rsidR="005A4708" w:rsidRPr="005A4708" w:rsidRDefault="005A4708" w:rsidP="005A4708">
      <w:pPr>
        <w:widowControl/>
        <w:ind w:leftChars="177" w:left="425"/>
        <w:jc w:val="both"/>
        <w:rPr>
          <w:rFonts w:ascii="Arial" w:eastAsia="新細明體" w:hAnsi="Arial" w:cs="Arial"/>
          <w:kern w:val="0"/>
          <w:szCs w:val="24"/>
        </w:rPr>
      </w:pPr>
      <w:r w:rsidRPr="005A4708">
        <w:rPr>
          <w:rFonts w:ascii="Arial" w:eastAsia="新細明體" w:hAnsi="Arial" w:cs="Arial" w:hint="eastAsia"/>
          <w:kern w:val="0"/>
          <w:szCs w:val="24"/>
        </w:rPr>
        <w:t>Associate professor of National University of Tainan (2004~2011)</w:t>
      </w:r>
    </w:p>
    <w:p w:rsidR="005A4708" w:rsidRPr="005A4708" w:rsidRDefault="005A4708" w:rsidP="005A4708">
      <w:pPr>
        <w:widowControl/>
        <w:ind w:leftChars="177" w:left="425"/>
        <w:jc w:val="both"/>
        <w:rPr>
          <w:rFonts w:ascii="Arial" w:eastAsia="新細明體" w:hAnsi="Arial" w:cs="Arial"/>
          <w:kern w:val="0"/>
          <w:szCs w:val="24"/>
        </w:rPr>
      </w:pPr>
      <w:r w:rsidRPr="005A4708">
        <w:rPr>
          <w:rFonts w:ascii="Arial" w:eastAsia="新細明體" w:hAnsi="Arial" w:cs="Arial" w:hint="eastAsia"/>
          <w:kern w:val="0"/>
          <w:szCs w:val="24"/>
        </w:rPr>
        <w:t>H</w:t>
      </w:r>
      <w:r w:rsidRPr="005A4708">
        <w:rPr>
          <w:rFonts w:ascii="Arial" w:eastAsia="新細明體" w:hAnsi="Arial" w:cs="Arial"/>
          <w:kern w:val="0"/>
          <w:szCs w:val="24"/>
        </w:rPr>
        <w:t xml:space="preserve">ead </w:t>
      </w:r>
      <w:r w:rsidR="008F6876">
        <w:rPr>
          <w:rFonts w:ascii="Arial" w:eastAsia="新細明體" w:hAnsi="Arial" w:cs="Arial" w:hint="eastAsia"/>
          <w:kern w:val="0"/>
          <w:szCs w:val="24"/>
        </w:rPr>
        <w:t xml:space="preserve">of Institute </w:t>
      </w:r>
      <w:r w:rsidRPr="005A4708">
        <w:rPr>
          <w:rFonts w:ascii="Arial" w:eastAsia="新細明體" w:hAnsi="Arial" w:cs="Arial"/>
          <w:kern w:val="0"/>
          <w:szCs w:val="24"/>
        </w:rPr>
        <w:t xml:space="preserve">of Educational Management and </w:t>
      </w:r>
      <w:proofErr w:type="spellStart"/>
      <w:r w:rsidRPr="005A4708">
        <w:rPr>
          <w:rFonts w:ascii="Arial" w:eastAsia="新細明體" w:hAnsi="Arial" w:cs="Arial"/>
          <w:kern w:val="0"/>
          <w:szCs w:val="24"/>
        </w:rPr>
        <w:t>Entrepreneurialship</w:t>
      </w:r>
      <w:proofErr w:type="spellEnd"/>
      <w:r w:rsidRPr="005A4708">
        <w:rPr>
          <w:rFonts w:ascii="Arial" w:eastAsia="新細明體" w:hAnsi="Arial" w:cs="Arial"/>
          <w:kern w:val="0"/>
          <w:szCs w:val="24"/>
        </w:rPr>
        <w:t>, NUTN</w:t>
      </w:r>
      <w:r w:rsidRPr="005A4708">
        <w:rPr>
          <w:rFonts w:ascii="Arial" w:eastAsia="新細明體" w:hAnsi="Arial" w:cs="Arial" w:hint="eastAsia"/>
          <w:kern w:val="0"/>
          <w:szCs w:val="24"/>
        </w:rPr>
        <w:t xml:space="preserve"> (2009~2011)</w:t>
      </w:r>
    </w:p>
    <w:p w:rsidR="005A4708" w:rsidRPr="005A4708" w:rsidRDefault="005A4708" w:rsidP="005A4708">
      <w:pPr>
        <w:widowControl/>
        <w:jc w:val="both"/>
        <w:rPr>
          <w:rFonts w:ascii="Arial" w:eastAsia="新細明體" w:hAnsi="Arial" w:cs="Arial"/>
          <w:b/>
          <w:kern w:val="0"/>
          <w:szCs w:val="24"/>
        </w:rPr>
      </w:pPr>
    </w:p>
    <w:p w:rsidR="005A4708" w:rsidRPr="005A4708" w:rsidRDefault="005A4708" w:rsidP="005A4708">
      <w:pPr>
        <w:widowControl/>
        <w:jc w:val="both"/>
        <w:rPr>
          <w:rFonts w:ascii="Arial" w:eastAsia="新細明體" w:hAnsi="Arial" w:cs="Arial"/>
          <w:b/>
          <w:kern w:val="0"/>
          <w:szCs w:val="24"/>
        </w:rPr>
      </w:pPr>
      <w:r w:rsidRPr="005A4708">
        <w:rPr>
          <w:rFonts w:ascii="Arial" w:eastAsia="新細明體" w:hAnsi="Arial" w:cs="Arial"/>
          <w:b/>
          <w:kern w:val="0"/>
          <w:szCs w:val="24"/>
        </w:rPr>
        <w:t>Research Interests</w:t>
      </w:r>
    </w:p>
    <w:p w:rsidR="005A4708" w:rsidRPr="005A4708" w:rsidRDefault="005A4708" w:rsidP="005A4708">
      <w:pPr>
        <w:widowControl/>
        <w:ind w:leftChars="177" w:left="425"/>
        <w:jc w:val="both"/>
        <w:rPr>
          <w:rFonts w:ascii="Arial" w:eastAsia="新細明體" w:hAnsi="Arial" w:cs="Arial"/>
          <w:b/>
          <w:kern w:val="0"/>
          <w:szCs w:val="24"/>
        </w:rPr>
      </w:pPr>
      <w:proofErr w:type="gramStart"/>
      <w:r w:rsidRPr="005A4708">
        <w:rPr>
          <w:rFonts w:ascii="Arial" w:eastAsia="新細明體" w:hAnsi="Arial" w:cs="Arial"/>
          <w:kern w:val="0"/>
          <w:szCs w:val="24"/>
        </w:rPr>
        <w:t>globalization</w:t>
      </w:r>
      <w:proofErr w:type="gramEnd"/>
      <w:r w:rsidRPr="005A4708">
        <w:rPr>
          <w:rFonts w:ascii="Arial" w:eastAsia="新細明體" w:hAnsi="Arial" w:cs="Arial"/>
          <w:kern w:val="0"/>
          <w:szCs w:val="24"/>
        </w:rPr>
        <w:t xml:space="preserve"> and higher education, internationalization of higher education, transnational higher education (TNHE), and </w:t>
      </w:r>
      <w:r w:rsidR="008F6876">
        <w:rPr>
          <w:rFonts w:ascii="Arial" w:eastAsia="新細明體" w:hAnsi="Arial" w:cs="Arial" w:hint="eastAsia"/>
          <w:kern w:val="0"/>
          <w:szCs w:val="24"/>
        </w:rPr>
        <w:t>academic profession</w:t>
      </w:r>
    </w:p>
    <w:p w:rsidR="005A4708" w:rsidRPr="005A4708" w:rsidRDefault="005A4708" w:rsidP="005A4708">
      <w:pPr>
        <w:widowControl/>
        <w:jc w:val="both"/>
        <w:rPr>
          <w:rFonts w:ascii="Arial" w:eastAsia="新細明體" w:hAnsi="Arial" w:cs="Arial"/>
          <w:b/>
          <w:kern w:val="0"/>
          <w:szCs w:val="24"/>
        </w:rPr>
      </w:pPr>
      <w:bookmarkStart w:id="0" w:name="_GoBack"/>
      <w:bookmarkEnd w:id="0"/>
    </w:p>
    <w:sectPr w:rsidR="005A4708" w:rsidRPr="005A470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201" w:rsidRDefault="00100201" w:rsidP="002534BD">
      <w:r>
        <w:separator/>
      </w:r>
    </w:p>
  </w:endnote>
  <w:endnote w:type="continuationSeparator" w:id="0">
    <w:p w:rsidR="00100201" w:rsidRDefault="00100201" w:rsidP="0025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584953"/>
      <w:docPartObj>
        <w:docPartGallery w:val="Page Numbers (Bottom of Page)"/>
        <w:docPartUnique/>
      </w:docPartObj>
    </w:sdtPr>
    <w:sdtEndPr/>
    <w:sdtContent>
      <w:p w:rsidR="002534BD" w:rsidRDefault="002534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4A8" w:rsidRPr="005F24A8">
          <w:rPr>
            <w:noProof/>
            <w:lang w:val="zh-TW"/>
          </w:rPr>
          <w:t>1</w:t>
        </w:r>
        <w:r>
          <w:fldChar w:fldCharType="end"/>
        </w:r>
      </w:p>
    </w:sdtContent>
  </w:sdt>
  <w:p w:rsidR="002534BD" w:rsidRDefault="002534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201" w:rsidRDefault="00100201" w:rsidP="002534BD">
      <w:r>
        <w:separator/>
      </w:r>
    </w:p>
  </w:footnote>
  <w:footnote w:type="continuationSeparator" w:id="0">
    <w:p w:rsidR="00100201" w:rsidRDefault="00100201" w:rsidP="00253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0C"/>
    <w:rsid w:val="000D0D56"/>
    <w:rsid w:val="00100201"/>
    <w:rsid w:val="002534BD"/>
    <w:rsid w:val="002B0AF4"/>
    <w:rsid w:val="002D5670"/>
    <w:rsid w:val="00491019"/>
    <w:rsid w:val="005A4708"/>
    <w:rsid w:val="005F24A8"/>
    <w:rsid w:val="00741AD1"/>
    <w:rsid w:val="008229E1"/>
    <w:rsid w:val="008A799B"/>
    <w:rsid w:val="008C4314"/>
    <w:rsid w:val="008F6876"/>
    <w:rsid w:val="009F48E8"/>
    <w:rsid w:val="00A10E95"/>
    <w:rsid w:val="00AA1885"/>
    <w:rsid w:val="00C20F0C"/>
    <w:rsid w:val="00D72525"/>
    <w:rsid w:val="00E64E9C"/>
    <w:rsid w:val="00EC65EF"/>
    <w:rsid w:val="00F7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6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D56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34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34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534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534B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6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D56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34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34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534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534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2019-09-14T04:36:00Z</dcterms:created>
  <dcterms:modified xsi:type="dcterms:W3CDTF">2019-09-14T04:36:00Z</dcterms:modified>
</cp:coreProperties>
</file>